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98"/>
        <w:gridCol w:w="2532"/>
        <w:gridCol w:w="330"/>
        <w:gridCol w:w="2594"/>
        <w:gridCol w:w="1517"/>
        <w:gridCol w:w="1339"/>
        <w:gridCol w:w="1964"/>
        <w:gridCol w:w="88"/>
        <w:gridCol w:w="179"/>
      </w:tblGrid>
      <w:tr w:rsidR="003C7F22" w:rsidRPr="00317451" w14:paraId="0F8E4695" w14:textId="77777777" w:rsidTr="00134C7E">
        <w:trPr>
          <w:gridBefore w:val="1"/>
          <w:wBefore w:w="198" w:type="dxa"/>
          <w:trHeight w:val="1073"/>
          <w:jc w:val="center"/>
        </w:trPr>
        <w:tc>
          <w:tcPr>
            <w:tcW w:w="5456" w:type="dxa"/>
            <w:gridSpan w:val="3"/>
            <w:tcBorders>
              <w:top w:val="nil"/>
              <w:left w:val="nil"/>
              <w:bottom w:val="nil"/>
            </w:tcBorders>
          </w:tcPr>
          <w:p w14:paraId="24AA93F2" w14:textId="77777777" w:rsidR="003C7F22" w:rsidRPr="00317451" w:rsidRDefault="0018498E" w:rsidP="005B7D24">
            <w:pPr>
              <w:jc w:val="center"/>
              <w:rPr>
                <w:rFonts w:cs="Arial"/>
                <w:b/>
                <w:sz w:val="32"/>
              </w:rPr>
            </w:pPr>
            <w:r w:rsidRPr="00D918B3">
              <w:rPr>
                <w:noProof/>
              </w:rPr>
              <w:drawing>
                <wp:inline distT="0" distB="0" distL="0" distR="0" wp14:anchorId="54E70F69" wp14:editId="3F47023E">
                  <wp:extent cx="3324225" cy="695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</w:tcPr>
          <w:p w14:paraId="3EFA8295" w14:textId="77777777" w:rsidR="003C7F22" w:rsidRPr="00751798" w:rsidRDefault="003C7F22" w:rsidP="003C7F22">
            <w:pPr>
              <w:pStyle w:val="Heading2"/>
              <w:spacing w:before="120" w:after="120"/>
              <w:jc w:val="center"/>
              <w:rPr>
                <w:rFonts w:cs="Arial"/>
                <w:sz w:val="32"/>
                <w:szCs w:val="32"/>
              </w:rPr>
            </w:pPr>
            <w:r w:rsidRPr="00751798">
              <w:rPr>
                <w:rFonts w:cs="Arial"/>
                <w:sz w:val="32"/>
                <w:szCs w:val="32"/>
              </w:rPr>
              <w:t>Independent examiner's report on the accounts</w:t>
            </w:r>
          </w:p>
        </w:tc>
        <w:tc>
          <w:tcPr>
            <w:tcW w:w="2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70558A" w14:textId="77777777" w:rsidR="003C7F22" w:rsidRPr="00751798" w:rsidRDefault="003C7F22" w:rsidP="003C7F22">
            <w:pPr>
              <w:pStyle w:val="Heading2"/>
              <w:spacing w:before="120" w:after="12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3C7F22" w:rsidRPr="005F09E7" w14:paraId="31120A9D" w14:textId="77777777" w:rsidTr="003C7F22">
        <w:trPr>
          <w:gridBefore w:val="1"/>
          <w:wBefore w:w="198" w:type="dxa"/>
          <w:jc w:val="center"/>
        </w:trPr>
        <w:tc>
          <w:tcPr>
            <w:tcW w:w="105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tbl>
            <w:tblPr>
              <w:tblW w:w="11476" w:type="dxa"/>
              <w:jc w:val="center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1476"/>
            </w:tblGrid>
            <w:tr w:rsidR="003C7F22" w:rsidRPr="005F09E7" w14:paraId="26ABF191" w14:textId="77777777" w:rsidTr="003C7F22">
              <w:trPr>
                <w:cantSplit/>
                <w:jc w:val="center"/>
              </w:trPr>
              <w:tc>
                <w:tcPr>
                  <w:tcW w:w="10769" w:type="dxa"/>
                  <w:shd w:val="clear" w:color="auto" w:fill="000000"/>
                </w:tcPr>
                <w:p w14:paraId="6036857D" w14:textId="77777777" w:rsidR="003C7F22" w:rsidRPr="005F09E7" w:rsidRDefault="003C7F22" w:rsidP="003C7F22">
                  <w:pPr>
                    <w:pStyle w:val="Heading4"/>
                    <w:jc w:val="left"/>
                    <w:rPr>
                      <w:rFonts w:cs="Arial"/>
                      <w:vanish/>
                    </w:rPr>
                  </w:pPr>
                  <w:r>
                    <w:rPr>
                      <w:rFonts w:cs="Arial"/>
                    </w:rPr>
                    <w:t xml:space="preserve">          </w:t>
                  </w:r>
                  <w:r w:rsidRPr="005F09E7">
                    <w:rPr>
                      <w:rFonts w:cs="Arial"/>
                    </w:rPr>
                    <w:t xml:space="preserve"> Section </w:t>
                  </w:r>
                  <w:proofErr w:type="spellStart"/>
                  <w:r w:rsidRPr="005F09E7">
                    <w:rPr>
                      <w:rFonts w:cs="Arial"/>
                    </w:rPr>
                    <w:t>A</w:t>
                  </w:r>
                  <w:proofErr w:type="spellEnd"/>
                  <w:r w:rsidRPr="005F09E7">
                    <w:rPr>
                      <w:rFonts w:cs="Arial"/>
                    </w:rPr>
                    <w:t xml:space="preserve">                        Independent Examiner’s Report</w:t>
                  </w:r>
                </w:p>
              </w:tc>
            </w:tr>
          </w:tbl>
          <w:p w14:paraId="2D5F0365" w14:textId="77777777" w:rsidR="003C7F22" w:rsidRPr="005F09E7" w:rsidRDefault="003C7F22" w:rsidP="003C7F22">
            <w:pPr>
              <w:pStyle w:val="Heading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14:paraId="2D2E11AB" w14:textId="77777777" w:rsidTr="003C7F22">
        <w:trPr>
          <w:gridBefore w:val="1"/>
          <w:wBefore w:w="198" w:type="dxa"/>
          <w:jc w:val="center"/>
        </w:trPr>
        <w:tc>
          <w:tcPr>
            <w:tcW w:w="105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2E0978" w14:textId="77777777" w:rsidR="003C7F22" w:rsidRPr="00317451" w:rsidRDefault="003C7F22" w:rsidP="003C7F22">
            <w:pPr>
              <w:pStyle w:val="Heading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14:paraId="75781E25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89520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u w:val="single"/>
              </w:rPr>
            </w:pPr>
            <w:r w:rsidRPr="00317451">
              <w:rPr>
                <w:rFonts w:cs="Arial"/>
                <w:b/>
              </w:rPr>
              <w:t>Report to the trustees/</w:t>
            </w:r>
            <w:r>
              <w:rPr>
                <w:rFonts w:cs="Arial"/>
                <w:b/>
              </w:rPr>
              <w:t xml:space="preserve"> </w:t>
            </w:r>
            <w:r w:rsidRPr="00317451">
              <w:rPr>
                <w:rFonts w:cs="Arial"/>
                <w:b/>
              </w:rPr>
              <w:t>members of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BD1" w14:textId="77777777"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color w:val="C0C0C0"/>
                <w:sz w:val="16"/>
              </w:rPr>
            </w:pPr>
            <w:r w:rsidRPr="00317451">
              <w:rPr>
                <w:rFonts w:cs="Arial"/>
                <w:color w:val="C0C0C0"/>
                <w:sz w:val="16"/>
              </w:rPr>
              <w:t>Charity Name</w:t>
            </w:r>
          </w:p>
          <w:p w14:paraId="3856D00C" w14:textId="6AB46760" w:rsidR="003C7F22" w:rsidRPr="00F007AA" w:rsidRDefault="001052AC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Parochial Church Council of St Peters Shipley</w:t>
            </w:r>
          </w:p>
        </w:tc>
      </w:tr>
      <w:tr w:rsidR="003C7F22" w:rsidRPr="00317451" w14:paraId="79397160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C295DB7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9FCFB16" w14:textId="77777777"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14:paraId="32FFCDC1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F6FC7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 w:rsidRPr="00317451">
              <w:rPr>
                <w:rFonts w:cs="Arial"/>
                <w:b/>
              </w:rPr>
              <w:t>On accounts for the year ended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187" w14:textId="74D72AA1" w:rsidR="003C7F22" w:rsidRPr="00F007AA" w:rsidRDefault="00F10348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31 December 202</w:t>
            </w:r>
            <w:r w:rsidR="004A5A44">
              <w:rPr>
                <w:rFonts w:cs="Arial"/>
                <w:szCs w:val="22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EB788E2" w14:textId="77777777" w:rsidR="003C7F22" w:rsidRPr="00F007AA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Charity no (if any)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3511" w14:textId="6C127D97" w:rsidR="003C7F22" w:rsidRPr="00F007AA" w:rsidRDefault="00F10348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1052AC">
              <w:rPr>
                <w:rFonts w:cs="Arial"/>
                <w:szCs w:val="22"/>
              </w:rPr>
              <w:t>34797</w:t>
            </w:r>
          </w:p>
        </w:tc>
      </w:tr>
      <w:tr w:rsidR="003C7F22" w:rsidRPr="00317451" w14:paraId="11109783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A853344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30C7C7E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vanish/>
                <w:color w:val="00FF00"/>
                <w:sz w:val="12"/>
                <w:szCs w:val="12"/>
              </w:rPr>
            </w:pPr>
          </w:p>
        </w:tc>
      </w:tr>
      <w:tr w:rsidR="003C7F22" w:rsidRPr="00317451" w14:paraId="688C5269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422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9136BD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t>Set out on pages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B958" w14:textId="5BB365CD" w:rsidR="003C7F22" w:rsidRPr="00F007AA" w:rsidRDefault="00F10348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1 - </w:t>
            </w:r>
            <w:r w:rsidR="001052AC">
              <w:rPr>
                <w:rFonts w:cs="Arial"/>
                <w:szCs w:val="22"/>
              </w:rPr>
              <w:t>2</w:t>
            </w:r>
            <w:r w:rsidR="00542A54">
              <w:rPr>
                <w:rFonts w:cs="Arial"/>
                <w:szCs w:val="22"/>
              </w:rPr>
              <w:t>1</w:t>
            </w:r>
          </w:p>
          <w:p w14:paraId="67EC1FC9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sz w:val="16"/>
              </w:rPr>
            </w:pPr>
            <w:r w:rsidRPr="00317451">
              <w:rPr>
                <w:rFonts w:cs="Arial"/>
                <w:color w:val="C0C0C0"/>
                <w:sz w:val="16"/>
              </w:rPr>
              <w:t>(</w:t>
            </w:r>
            <w:proofErr w:type="gramStart"/>
            <w:r w:rsidRPr="00317451">
              <w:rPr>
                <w:rFonts w:cs="Arial"/>
                <w:color w:val="C0C0C0"/>
                <w:sz w:val="16"/>
              </w:rPr>
              <w:t>remember  to</w:t>
            </w:r>
            <w:proofErr w:type="gramEnd"/>
            <w:r w:rsidRPr="00317451">
              <w:rPr>
                <w:rFonts w:cs="Arial"/>
                <w:color w:val="C0C0C0"/>
                <w:sz w:val="16"/>
              </w:rPr>
              <w:t xml:space="preserve"> include the page numbers of additional sheets)</w:t>
            </w:r>
          </w:p>
        </w:tc>
      </w:tr>
      <w:tr w:rsidR="003C7F22" w:rsidRPr="00317451" w14:paraId="76BC93ED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80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A4271AA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20F79B3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14:paraId="388F00A8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2270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3EB60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t>Respective responsibilities of trustees and examiner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E99A84" w14:textId="77777777" w:rsidR="00CE3818" w:rsidRDefault="003C7F22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317451">
              <w:rPr>
                <w:rFonts w:cs="Arial"/>
              </w:rPr>
              <w:t xml:space="preserve">The charity's trustees </w:t>
            </w:r>
            <w:r>
              <w:rPr>
                <w:rFonts w:cs="Arial"/>
              </w:rPr>
              <w:t>are responsible for the preparation of the accounts</w:t>
            </w:r>
            <w:r w:rsidR="00CE3818">
              <w:rPr>
                <w:rFonts w:cs="Arial"/>
              </w:rPr>
              <w:t xml:space="preserve"> in accordance with the requirements of the Charities Act 2011 (“the Act”)</w:t>
            </w:r>
            <w:r>
              <w:rPr>
                <w:rFonts w:cs="Arial"/>
              </w:rPr>
              <w:t xml:space="preserve">. </w:t>
            </w:r>
          </w:p>
          <w:p w14:paraId="72D98F38" w14:textId="77777777" w:rsidR="00CE3818" w:rsidRDefault="00CE3818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</w:p>
          <w:p w14:paraId="1F584C4F" w14:textId="77777777"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charity’s trustees </w:t>
            </w:r>
            <w:r w:rsidRPr="00317451">
              <w:rPr>
                <w:rFonts w:cs="Arial"/>
              </w:rPr>
              <w:t xml:space="preserve">consider that an audit is not required for this year under section </w:t>
            </w:r>
            <w:r w:rsidR="005B24F2">
              <w:rPr>
                <w:rFonts w:cs="Arial"/>
              </w:rPr>
              <w:t>144</w:t>
            </w:r>
            <w:r w:rsidRPr="00317451">
              <w:rPr>
                <w:rFonts w:cs="Arial"/>
              </w:rPr>
              <w:t xml:space="preserve"> of the Act and that an independent examination is needed.  </w:t>
            </w:r>
          </w:p>
          <w:p w14:paraId="19743B02" w14:textId="77777777"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  <w:r w:rsidRPr="00317451">
              <w:rPr>
                <w:rFonts w:cs="Arial"/>
              </w:rPr>
              <w:t>It is my responsibility to</w:t>
            </w:r>
            <w:r>
              <w:rPr>
                <w:rFonts w:cs="Arial"/>
              </w:rPr>
              <w:t>:</w:t>
            </w:r>
            <w:r w:rsidRPr="00317451">
              <w:rPr>
                <w:rFonts w:cs="Arial"/>
              </w:rPr>
              <w:t xml:space="preserve"> </w:t>
            </w:r>
          </w:p>
          <w:p w14:paraId="1B087A12" w14:textId="77777777" w:rsidR="003C7F22" w:rsidRPr="00317451" w:rsidRDefault="003C7F22" w:rsidP="003C7F2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317451">
              <w:rPr>
                <w:rFonts w:cs="Arial"/>
              </w:rPr>
              <w:t xml:space="preserve">examine the accounts under section </w:t>
            </w:r>
            <w:r w:rsidR="005B24F2">
              <w:rPr>
                <w:rFonts w:cs="Arial"/>
              </w:rPr>
              <w:t>145</w:t>
            </w:r>
            <w:r w:rsidRPr="00317451">
              <w:rPr>
                <w:rFonts w:cs="Arial"/>
              </w:rPr>
              <w:t xml:space="preserve"> of the </w:t>
            </w:r>
            <w:r w:rsidR="005B24F2">
              <w:rPr>
                <w:rFonts w:cs="Arial"/>
              </w:rPr>
              <w:t xml:space="preserve">Charities </w:t>
            </w:r>
            <w:r w:rsidRPr="00317451">
              <w:rPr>
                <w:rFonts w:cs="Arial"/>
              </w:rPr>
              <w:t xml:space="preserve">Act, </w:t>
            </w:r>
          </w:p>
          <w:p w14:paraId="2F3FBCD0" w14:textId="77777777" w:rsidR="003C7F22" w:rsidRPr="00317451" w:rsidRDefault="003C7F22" w:rsidP="003C7F2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317451">
              <w:rPr>
                <w:rFonts w:cs="Arial"/>
              </w:rPr>
              <w:t xml:space="preserve">to follow the </w:t>
            </w:r>
            <w:r w:rsidR="00CE3818">
              <w:rPr>
                <w:rFonts w:cs="Arial"/>
              </w:rPr>
              <w:t>applicable</w:t>
            </w:r>
            <w:r w:rsidRPr="00317451">
              <w:rPr>
                <w:rFonts w:cs="Arial"/>
              </w:rPr>
              <w:t xml:space="preserve"> Directions given by the Charity Commission (under section </w:t>
            </w:r>
            <w:r w:rsidR="005B24F2">
              <w:rPr>
                <w:rFonts w:cs="Arial"/>
              </w:rPr>
              <w:t xml:space="preserve">145(5)(b) of the </w:t>
            </w:r>
            <w:r w:rsidRPr="00317451">
              <w:rPr>
                <w:rFonts w:cs="Arial"/>
              </w:rPr>
              <w:t xml:space="preserve">Act, and </w:t>
            </w:r>
          </w:p>
          <w:p w14:paraId="3B3B3AD9" w14:textId="77777777" w:rsidR="003C7F22" w:rsidRPr="00317451" w:rsidRDefault="003C7F22" w:rsidP="003C7F22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317451">
              <w:rPr>
                <w:rFonts w:cs="Arial"/>
              </w:rPr>
              <w:t xml:space="preserve">to state whether </w:t>
            </w:r>
            <w:proofErr w:type="gramStart"/>
            <w:r w:rsidRPr="00317451">
              <w:rPr>
                <w:rFonts w:cs="Arial"/>
              </w:rPr>
              <w:t>particular matters</w:t>
            </w:r>
            <w:proofErr w:type="gramEnd"/>
            <w:r w:rsidRPr="00317451">
              <w:rPr>
                <w:rFonts w:cs="Arial"/>
              </w:rPr>
              <w:t xml:space="preserve"> have come to my attention</w:t>
            </w:r>
          </w:p>
          <w:p w14:paraId="6A4D7504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sz w:val="16"/>
              </w:rPr>
            </w:pPr>
          </w:p>
        </w:tc>
      </w:tr>
      <w:tr w:rsidR="003C7F22" w:rsidRPr="00317451" w14:paraId="1DD34A86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1925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8FD94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t>Basis of independent examiner’s statement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C4FAB9" w14:textId="77777777" w:rsidR="003C7F22" w:rsidRPr="00317451" w:rsidRDefault="003C7F22" w:rsidP="003C7F22">
            <w:pPr>
              <w:rPr>
                <w:rFonts w:cs="Arial"/>
              </w:rPr>
            </w:pPr>
            <w:r w:rsidRPr="00317451">
              <w:t xml:space="preserve">My examination was carried out in accordance with </w:t>
            </w:r>
            <w:r>
              <w:t>g</w:t>
            </w:r>
            <w:r w:rsidRPr="00317451">
              <w:t xml:space="preserve">eneral Directions given by the Charity Commission.  An examination includes a review of the accounting records kept by the charity and a comparison of the accounts presented with those records.  It also includes consideration of any unusual items or disclosures in the </w:t>
            </w:r>
            <w:proofErr w:type="gramStart"/>
            <w:r w:rsidRPr="00317451">
              <w:t>accounts, and</w:t>
            </w:r>
            <w:proofErr w:type="gramEnd"/>
            <w:r w:rsidRPr="00317451">
              <w:t xml:space="preserve"> seeking explanations from the trustees concerning any such matters.  The procedures undertaken do not provide all the evidence that would be required in an audit, and consequently </w:t>
            </w:r>
            <w:r>
              <w:t xml:space="preserve">no opinion is given as to whether the accounts present a ‘true and fair’ </w:t>
            </w:r>
            <w:proofErr w:type="gramStart"/>
            <w:r>
              <w:t>view</w:t>
            </w:r>
            <w:proofErr w:type="gramEnd"/>
            <w:r>
              <w:t xml:space="preserve"> and the report is limited to those matters set out in the statement below</w:t>
            </w:r>
            <w:r w:rsidRPr="00317451">
              <w:t>.</w:t>
            </w:r>
          </w:p>
        </w:tc>
      </w:tr>
      <w:tr w:rsidR="003C7F22" w:rsidRPr="00317451" w14:paraId="7F375B46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EBCD0" w14:textId="77777777" w:rsidR="003C7F22" w:rsidRPr="00D3708D" w:rsidRDefault="003C7F22" w:rsidP="003C7F22">
            <w:pPr>
              <w:pStyle w:val="Heading3"/>
              <w:rPr>
                <w:rFonts w:cs="Arial"/>
                <w:sz w:val="24"/>
                <w:szCs w:val="24"/>
                <w:u w:val="none"/>
              </w:rPr>
            </w:pPr>
            <w:r w:rsidRPr="00D3708D">
              <w:rPr>
                <w:rFonts w:cs="Arial"/>
                <w:sz w:val="24"/>
                <w:szCs w:val="24"/>
                <w:u w:val="none"/>
              </w:rPr>
              <w:t>Independent examiner's statement</w:t>
            </w: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FE51FF" w14:textId="77777777" w:rsidR="003C7F22" w:rsidRPr="00317451" w:rsidRDefault="003C7F22" w:rsidP="00134C7E">
            <w:pPr>
              <w:rPr>
                <w:rFonts w:cs="Arial"/>
              </w:rPr>
            </w:pPr>
            <w:r w:rsidRPr="00317451">
              <w:rPr>
                <w:rFonts w:cs="Arial"/>
              </w:rPr>
              <w:t xml:space="preserve">In </w:t>
            </w:r>
            <w:r>
              <w:rPr>
                <w:rFonts w:cs="Arial"/>
              </w:rPr>
              <w:t>connection with</w:t>
            </w:r>
            <w:r w:rsidRPr="00317451">
              <w:rPr>
                <w:rFonts w:cs="Arial"/>
              </w:rPr>
              <w:t xml:space="preserve"> my examination, no </w:t>
            </w:r>
            <w:r w:rsidR="00B74F4C">
              <w:rPr>
                <w:rFonts w:cs="Arial"/>
              </w:rPr>
              <w:t xml:space="preserve">material </w:t>
            </w:r>
            <w:r w:rsidRPr="00317451">
              <w:rPr>
                <w:rFonts w:cs="Arial"/>
              </w:rPr>
              <w:t>matter</w:t>
            </w:r>
            <w:r w:rsidR="00B74F4C">
              <w:rPr>
                <w:rFonts w:cs="Arial"/>
              </w:rPr>
              <w:t>s</w:t>
            </w:r>
            <w:r w:rsidRPr="00317451">
              <w:rPr>
                <w:rFonts w:cs="Arial"/>
              </w:rPr>
              <w:t xml:space="preserve"> ha</w:t>
            </w:r>
            <w:r w:rsidR="00B74F4C">
              <w:rPr>
                <w:rFonts w:cs="Arial"/>
              </w:rPr>
              <w:t>ve</w:t>
            </w:r>
            <w:r w:rsidRPr="00317451">
              <w:rPr>
                <w:rFonts w:cs="Arial"/>
              </w:rPr>
              <w:t xml:space="preserve"> come to my attention (other than that disclosed below *) which gives me cause to believe that in, any material respect:</w:t>
            </w:r>
          </w:p>
          <w:p w14:paraId="5B9CAD0E" w14:textId="77777777" w:rsidR="002B68B1" w:rsidRDefault="003C7F22" w:rsidP="00C85A5C">
            <w:pPr>
              <w:numPr>
                <w:ilvl w:val="0"/>
                <w:numId w:val="1"/>
              </w:numPr>
              <w:tabs>
                <w:tab w:val="left" w:pos="3828"/>
              </w:tabs>
              <w:ind w:left="643"/>
              <w:rPr>
                <w:rFonts w:cs="Arial"/>
              </w:rPr>
            </w:pPr>
            <w:r w:rsidRPr="00317451">
              <w:rPr>
                <w:rFonts w:cs="Arial"/>
              </w:rPr>
              <w:t xml:space="preserve">accounting records </w:t>
            </w:r>
            <w:r w:rsidR="00B74F4C">
              <w:rPr>
                <w:rFonts w:cs="Arial"/>
              </w:rPr>
              <w:t xml:space="preserve">were not kept </w:t>
            </w:r>
            <w:r w:rsidRPr="00317451">
              <w:rPr>
                <w:rFonts w:cs="Arial"/>
              </w:rPr>
              <w:t>in accordance with section</w:t>
            </w:r>
            <w:r w:rsidR="005B24F2">
              <w:rPr>
                <w:rFonts w:cs="Arial"/>
              </w:rPr>
              <w:t xml:space="preserve"> 130 </w:t>
            </w:r>
            <w:r w:rsidRPr="00317451">
              <w:rPr>
                <w:rFonts w:cs="Arial"/>
              </w:rPr>
              <w:t>of the</w:t>
            </w:r>
            <w:r w:rsidR="005B24F2">
              <w:rPr>
                <w:rFonts w:cs="Arial"/>
              </w:rPr>
              <w:t xml:space="preserve"> Charities </w:t>
            </w:r>
            <w:r w:rsidRPr="00317451">
              <w:rPr>
                <w:rFonts w:cs="Arial"/>
              </w:rPr>
              <w:t>Act</w:t>
            </w:r>
            <w:r w:rsidR="002B68B1">
              <w:rPr>
                <w:rFonts w:cs="Arial"/>
              </w:rPr>
              <w:t xml:space="preserve"> </w:t>
            </w:r>
            <w:r w:rsidR="00B74F4C">
              <w:rPr>
                <w:rFonts w:cs="Arial"/>
              </w:rPr>
              <w:t>or</w:t>
            </w:r>
            <w:r w:rsidRPr="00317451">
              <w:rPr>
                <w:rFonts w:cs="Arial"/>
              </w:rPr>
              <w:t xml:space="preserve"> </w:t>
            </w:r>
          </w:p>
          <w:p w14:paraId="24A7D106" w14:textId="77777777" w:rsidR="006E0BC2" w:rsidRDefault="003C7F22" w:rsidP="00C85A5C">
            <w:pPr>
              <w:numPr>
                <w:ilvl w:val="0"/>
                <w:numId w:val="1"/>
              </w:numPr>
              <w:tabs>
                <w:tab w:val="left" w:pos="3828"/>
              </w:tabs>
              <w:ind w:left="643"/>
              <w:rPr>
                <w:rFonts w:cs="Arial"/>
              </w:rPr>
            </w:pPr>
            <w:r w:rsidRPr="006E0BC2">
              <w:rPr>
                <w:rFonts w:cs="Arial"/>
              </w:rPr>
              <w:t>t</w:t>
            </w:r>
            <w:r w:rsidR="00B74F4C" w:rsidRPr="006E0BC2">
              <w:rPr>
                <w:rFonts w:cs="Arial"/>
              </w:rPr>
              <w:t>he</w:t>
            </w:r>
            <w:r w:rsidRPr="006E0BC2">
              <w:rPr>
                <w:rFonts w:cs="Arial"/>
              </w:rPr>
              <w:t xml:space="preserve"> accounts </w:t>
            </w:r>
            <w:r w:rsidR="00B74F4C" w:rsidRPr="006E0BC2">
              <w:rPr>
                <w:rFonts w:cs="Arial"/>
              </w:rPr>
              <w:t>do not</w:t>
            </w:r>
            <w:r w:rsidRPr="006E0BC2">
              <w:rPr>
                <w:rFonts w:cs="Arial"/>
              </w:rPr>
              <w:t xml:space="preserve"> accord with the accounting </w:t>
            </w:r>
            <w:r w:rsidR="006E0BC2">
              <w:rPr>
                <w:rFonts w:cs="Arial"/>
              </w:rPr>
              <w:t>records</w:t>
            </w:r>
          </w:p>
          <w:p w14:paraId="550A8BF9" w14:textId="77777777" w:rsidR="006E0BC2" w:rsidRDefault="006E0BC2" w:rsidP="00C85A5C">
            <w:pPr>
              <w:tabs>
                <w:tab w:val="left" w:pos="3828"/>
              </w:tabs>
              <w:ind w:left="643"/>
              <w:rPr>
                <w:rFonts w:cs="Arial"/>
              </w:rPr>
            </w:pPr>
          </w:p>
          <w:p w14:paraId="10A8C386" w14:textId="77777777" w:rsidR="003C7F22" w:rsidRPr="00C85A5C" w:rsidRDefault="005954DA" w:rsidP="00C85A5C">
            <w:pPr>
              <w:tabs>
                <w:tab w:val="left" w:pos="3828"/>
              </w:tabs>
              <w:rPr>
                <w:rFonts w:cs="Arial"/>
              </w:rPr>
            </w:pPr>
            <w:r w:rsidRPr="006E0BC2">
              <w:rPr>
                <w:rFonts w:cs="Arial"/>
              </w:rPr>
              <w:t xml:space="preserve">I have </w:t>
            </w:r>
            <w:r w:rsidR="00170B72">
              <w:rPr>
                <w:rFonts w:cs="Arial"/>
              </w:rPr>
              <w:t xml:space="preserve">no concerns and have </w:t>
            </w:r>
            <w:r w:rsidRPr="006E0BC2">
              <w:rPr>
                <w:rFonts w:cs="Arial"/>
              </w:rPr>
              <w:t>come across no</w:t>
            </w:r>
            <w:r w:rsidR="00B74F4C" w:rsidRPr="006E0BC2">
              <w:rPr>
                <w:rFonts w:cs="Arial"/>
              </w:rPr>
              <w:t xml:space="preserve"> other matters in connection with the examination </w:t>
            </w:r>
            <w:r w:rsidR="003C7F22" w:rsidRPr="006E0BC2">
              <w:rPr>
                <w:rFonts w:cs="Arial"/>
              </w:rPr>
              <w:t xml:space="preserve">to which attention should be drawn </w:t>
            </w:r>
            <w:proofErr w:type="gramStart"/>
            <w:r w:rsidR="003C7F22" w:rsidRPr="006E0BC2">
              <w:rPr>
                <w:rFonts w:cs="Arial"/>
              </w:rPr>
              <w:t>in order to</w:t>
            </w:r>
            <w:proofErr w:type="gramEnd"/>
            <w:r w:rsidR="003C7F22" w:rsidRPr="006E0BC2">
              <w:rPr>
                <w:rFonts w:cs="Arial"/>
              </w:rPr>
              <w:t xml:space="preserve"> enable a proper understanding of the accounts to be reached.</w:t>
            </w:r>
          </w:p>
          <w:p w14:paraId="3561AD05" w14:textId="77777777" w:rsidR="003C7F22" w:rsidRPr="00317451" w:rsidRDefault="003C7F22" w:rsidP="003C7F22">
            <w:pPr>
              <w:rPr>
                <w:rFonts w:cs="Arial"/>
              </w:rPr>
            </w:pPr>
            <w:r w:rsidRPr="00317451">
              <w:rPr>
                <w:rFonts w:cs="Arial"/>
              </w:rPr>
              <w:t xml:space="preserve">* </w:t>
            </w:r>
            <w:r w:rsidRPr="009A0204">
              <w:rPr>
                <w:rFonts w:cs="Arial"/>
                <w:i/>
              </w:rPr>
              <w:t>Please delete the words in the brackets if they do not apply.</w:t>
            </w:r>
          </w:p>
        </w:tc>
      </w:tr>
      <w:tr w:rsidR="003C7F22" w:rsidRPr="00317451" w14:paraId="7F51B95B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9B5910E" w14:textId="77777777" w:rsidR="003C7F22" w:rsidRPr="00317451" w:rsidRDefault="003C7F22" w:rsidP="003C7F22">
            <w:pPr>
              <w:pStyle w:val="Heading3"/>
              <w:rPr>
                <w:rFonts w:cs="Arial"/>
                <w:sz w:val="12"/>
                <w:szCs w:val="12"/>
              </w:rPr>
            </w:pP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58A8D0C" w14:textId="77777777" w:rsidR="003C7F22" w:rsidRPr="00317451" w:rsidRDefault="003C7F22" w:rsidP="003C7F22">
            <w:pPr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14:paraId="2393C990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DA81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 w:rsidRPr="00317451">
              <w:rPr>
                <w:rFonts w:cs="Arial"/>
                <w:b/>
                <w:szCs w:val="22"/>
              </w:rPr>
              <w:t>Signed: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9035" w14:textId="1E15D159" w:rsidR="003C7F22" w:rsidRPr="004A5A44" w:rsidRDefault="004A5A44" w:rsidP="003C7F22">
            <w:pPr>
              <w:numPr>
                <w:ilvl w:val="12"/>
                <w:numId w:val="0"/>
              </w:numPr>
              <w:rPr>
                <w:rFonts w:ascii="Informal Roman" w:hAnsi="Informal Roman" w:cs="Arial"/>
                <w:szCs w:val="22"/>
              </w:rPr>
            </w:pPr>
            <w:r w:rsidRPr="004A5A44">
              <w:rPr>
                <w:rFonts w:ascii="Informal Roman" w:hAnsi="Informal Roman" w:cs="Arial"/>
                <w:szCs w:val="22"/>
              </w:rPr>
              <w:t>Simon Hart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2A81926" w14:textId="77777777" w:rsidR="003C7F22" w:rsidRPr="00F007AA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 w:rsidRPr="00F007AA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7CC1" w14:textId="7E1E6A3B" w:rsidR="003C7F22" w:rsidRPr="00F007AA" w:rsidRDefault="00C201D1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4A5A44">
              <w:rPr>
                <w:rFonts w:cs="Arial"/>
                <w:szCs w:val="22"/>
              </w:rPr>
              <w:t>8</w:t>
            </w:r>
            <w:r w:rsidR="00481168">
              <w:rPr>
                <w:rFonts w:cs="Arial"/>
                <w:szCs w:val="22"/>
              </w:rPr>
              <w:t>/0</w:t>
            </w:r>
            <w:r w:rsidR="004A5A44">
              <w:rPr>
                <w:rFonts w:cs="Arial"/>
                <w:szCs w:val="22"/>
              </w:rPr>
              <w:t>5</w:t>
            </w:r>
            <w:r w:rsidR="00481168">
              <w:rPr>
                <w:rFonts w:cs="Arial"/>
                <w:szCs w:val="22"/>
              </w:rPr>
              <w:t>/202</w:t>
            </w:r>
            <w:r w:rsidR="004A5A44">
              <w:rPr>
                <w:rFonts w:cs="Arial"/>
                <w:szCs w:val="22"/>
              </w:rPr>
              <w:t>4</w:t>
            </w:r>
          </w:p>
        </w:tc>
      </w:tr>
      <w:tr w:rsidR="003C7F22" w:rsidRPr="00317451" w14:paraId="0ECFDEBC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77A85DCB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6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12335B3" w14:textId="77777777"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vanish/>
                <w:sz w:val="12"/>
                <w:szCs w:val="12"/>
              </w:rPr>
            </w:pPr>
          </w:p>
        </w:tc>
      </w:tr>
      <w:tr w:rsidR="003C7F22" w:rsidRPr="00317451" w14:paraId="6DD507FA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08971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Cs w:val="22"/>
              </w:rPr>
            </w:pPr>
            <w:r w:rsidRPr="00317451">
              <w:rPr>
                <w:rFonts w:cs="Arial"/>
                <w:b/>
                <w:szCs w:val="22"/>
              </w:rPr>
              <w:t>Name: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844" w14:textId="1F3922B8" w:rsidR="003C7F22" w:rsidRPr="00F007AA" w:rsidRDefault="00481168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Simon Hart</w:t>
            </w:r>
          </w:p>
        </w:tc>
      </w:tr>
      <w:tr w:rsidR="003C7F22" w:rsidRPr="00317451" w14:paraId="6D5EE398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09FE268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76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30BD6881" w14:textId="77777777"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vanish/>
                <w:sz w:val="16"/>
              </w:rPr>
            </w:pPr>
          </w:p>
        </w:tc>
      </w:tr>
      <w:tr w:rsidR="003C7F22" w:rsidRPr="00317451" w14:paraId="271FA95C" w14:textId="77777777" w:rsidTr="00134C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trHeight w:val="616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E2A0A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t>Relevant professional qualification</w:t>
            </w:r>
            <w:r>
              <w:rPr>
                <w:rFonts w:cs="Arial"/>
                <w:b/>
              </w:rPr>
              <w:t>(s)</w:t>
            </w:r>
            <w:r w:rsidRPr="00317451">
              <w:rPr>
                <w:rFonts w:cs="Arial"/>
                <w:b/>
              </w:rPr>
              <w:t xml:space="preserve"> or body (if any):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AA29" w14:textId="60820603" w:rsidR="003C7F22" w:rsidRPr="00317451" w:rsidRDefault="00481168" w:rsidP="003C7F22">
            <w:pPr>
              <w:numPr>
                <w:ilvl w:val="12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FCCA</w:t>
            </w:r>
          </w:p>
        </w:tc>
      </w:tr>
      <w:tr w:rsidR="003C7F22" w:rsidRPr="00317451" w14:paraId="0E512003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4B0E653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11809E99" w14:textId="77777777"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vanish/>
                <w:sz w:val="12"/>
                <w:szCs w:val="12"/>
              </w:rPr>
            </w:pPr>
          </w:p>
        </w:tc>
      </w:tr>
      <w:tr w:rsidR="003C7F22" w:rsidRPr="00317451" w14:paraId="3AE76A6A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D10E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  <w:r w:rsidRPr="00317451">
              <w:rPr>
                <w:rFonts w:cs="Arial"/>
                <w:b/>
              </w:rPr>
              <w:lastRenderedPageBreak/>
              <w:t>Address:</w:t>
            </w: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83D" w14:textId="27087252" w:rsidR="003C7F22" w:rsidRPr="00F007AA" w:rsidRDefault="00481168" w:rsidP="003C7F22">
            <w:pPr>
              <w:pStyle w:val="Document1"/>
              <w:keepNext w:val="0"/>
              <w:keepLines w:val="0"/>
              <w:widowControl/>
              <w:numPr>
                <w:ilvl w:val="12"/>
                <w:numId w:val="0"/>
              </w:numPr>
              <w:tabs>
                <w:tab w:val="clear" w:pos="-720"/>
              </w:tabs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24 Hall Drive</w:t>
            </w:r>
          </w:p>
        </w:tc>
      </w:tr>
      <w:tr w:rsidR="003C7F22" w:rsidRPr="00317451" w14:paraId="2041DC26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A40D1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89BC" w14:textId="0FD2A06D" w:rsidR="003C7F22" w:rsidRPr="00F007AA" w:rsidRDefault="00481168" w:rsidP="003C7F22">
            <w:pPr>
              <w:pStyle w:val="Document1"/>
              <w:keepNext w:val="0"/>
              <w:keepLines w:val="0"/>
              <w:widowControl/>
              <w:numPr>
                <w:ilvl w:val="12"/>
                <w:numId w:val="0"/>
              </w:numPr>
              <w:tabs>
                <w:tab w:val="clear" w:pos="-720"/>
              </w:tabs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Sutton In Craven</w:t>
            </w:r>
          </w:p>
        </w:tc>
      </w:tr>
      <w:tr w:rsidR="003C7F22" w:rsidRPr="00317451" w14:paraId="5CADA94F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8" w:type="dxa"/>
          <w:jc w:val="center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75208" w14:textId="77777777" w:rsidR="003C7F22" w:rsidRPr="00317451" w:rsidRDefault="003C7F22" w:rsidP="003C7F22">
            <w:pPr>
              <w:numPr>
                <w:ilvl w:val="12"/>
                <w:numId w:val="0"/>
              </w:numPr>
              <w:jc w:val="right"/>
              <w:rPr>
                <w:rFonts w:cs="Arial"/>
                <w:b/>
              </w:rPr>
            </w:pPr>
          </w:p>
        </w:tc>
        <w:tc>
          <w:tcPr>
            <w:tcW w:w="7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789" w14:textId="4116FE2D" w:rsidR="003C7F22" w:rsidRPr="00F007AA" w:rsidRDefault="00481168" w:rsidP="003C7F22">
            <w:pPr>
              <w:pStyle w:val="Document1"/>
              <w:keepNext w:val="0"/>
              <w:keepLines w:val="0"/>
              <w:widowControl/>
              <w:numPr>
                <w:ilvl w:val="12"/>
                <w:numId w:val="0"/>
              </w:numPr>
              <w:tabs>
                <w:tab w:val="clear" w:pos="-720"/>
              </w:tabs>
              <w:suppressAutoHyphens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BD20 7NH</w:t>
            </w:r>
          </w:p>
        </w:tc>
      </w:tr>
      <w:tr w:rsidR="003C7F22" w:rsidRPr="005F09E7" w14:paraId="32EA0C2C" w14:textId="77777777" w:rsidTr="003C7F22">
        <w:trPr>
          <w:gridBefore w:val="1"/>
          <w:wBefore w:w="198" w:type="dxa"/>
          <w:jc w:val="center"/>
        </w:trPr>
        <w:tc>
          <w:tcPr>
            <w:tcW w:w="105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D45340A" w14:textId="77777777" w:rsidR="003C7F22" w:rsidRPr="005F09E7" w:rsidRDefault="003C7F22" w:rsidP="003C7F22">
            <w:pPr>
              <w:pStyle w:val="Heading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3C7F22" w:rsidRPr="00317451" w14:paraId="086BF9D3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9" w:type="dxa"/>
          <w:cantSplit/>
          <w:jc w:val="center"/>
        </w:trPr>
        <w:tc>
          <w:tcPr>
            <w:tcW w:w="1056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57E1B1B9" w14:textId="77777777" w:rsidR="003C7F22" w:rsidRPr="00317451" w:rsidRDefault="003C7F22" w:rsidP="003C7F22">
            <w:pPr>
              <w:pStyle w:val="Heading4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Section B                           </w:t>
            </w:r>
            <w:r w:rsidRPr="00317451">
              <w:rPr>
                <w:rFonts w:cs="Arial"/>
              </w:rPr>
              <w:t xml:space="preserve">Disclosure </w:t>
            </w:r>
          </w:p>
        </w:tc>
      </w:tr>
      <w:tr w:rsidR="003C7F22" w:rsidRPr="00317451" w14:paraId="6FC1C195" w14:textId="77777777" w:rsidTr="003C7F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9" w:type="dxa"/>
          <w:cantSplit/>
          <w:jc w:val="center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BD18B" w14:textId="77777777" w:rsidR="003C7F22" w:rsidRPr="00317451" w:rsidRDefault="003C7F22" w:rsidP="003C7F22">
            <w:pPr>
              <w:numPr>
                <w:ilvl w:val="12"/>
                <w:numId w:val="0"/>
              </w:numPr>
              <w:spacing w:before="120" w:after="120"/>
              <w:jc w:val="right"/>
              <w:rPr>
                <w:rFonts w:cs="Arial"/>
                <w:b/>
                <w:sz w:val="16"/>
              </w:rPr>
            </w:pPr>
          </w:p>
        </w:tc>
        <w:tc>
          <w:tcPr>
            <w:tcW w:w="78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829CAF" w14:textId="77777777" w:rsidR="003C7F22" w:rsidRPr="00317451" w:rsidRDefault="003C7F22" w:rsidP="00B74F4C">
            <w:pPr>
              <w:numPr>
                <w:ilvl w:val="12"/>
                <w:numId w:val="0"/>
              </w:numPr>
              <w:spacing w:before="120" w:after="120"/>
              <w:rPr>
                <w:rFonts w:cs="Arial"/>
              </w:rPr>
            </w:pPr>
            <w:r w:rsidRPr="00317451">
              <w:rPr>
                <w:rFonts w:cs="Arial"/>
              </w:rPr>
              <w:t>Only complete if the examiner needs to highlight m</w:t>
            </w:r>
            <w:r w:rsidR="00B74F4C">
              <w:rPr>
                <w:rFonts w:cs="Arial"/>
              </w:rPr>
              <w:t>atters of concern (see CC32, Independent examination of charity accounts: directions and guidance for examiners)</w:t>
            </w:r>
            <w:r w:rsidRPr="00317451">
              <w:rPr>
                <w:rFonts w:cs="Arial"/>
              </w:rPr>
              <w:t>.</w:t>
            </w:r>
          </w:p>
        </w:tc>
      </w:tr>
      <w:tr w:rsidR="003C7F22" w:rsidRPr="00317451" w14:paraId="7E86BE7E" w14:textId="77777777" w:rsidTr="00134C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79" w:type="dxa"/>
          <w:cantSplit/>
          <w:trHeight w:val="11799"/>
          <w:jc w:val="center"/>
        </w:trPr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2C736D" w14:textId="77777777" w:rsidR="003C7F22" w:rsidRPr="00317451" w:rsidRDefault="003C7F22" w:rsidP="003C7F22">
            <w:pPr>
              <w:numPr>
                <w:ilvl w:val="12"/>
                <w:numId w:val="0"/>
              </w:numPr>
              <w:rPr>
                <w:rFonts w:cs="Arial"/>
                <w:sz w:val="28"/>
              </w:rPr>
            </w:pPr>
            <w:r w:rsidRPr="00317451">
              <w:rPr>
                <w:rFonts w:cs="Arial"/>
                <w:b/>
              </w:rPr>
              <w:t>Give here brief details of any items that the examiner wishes to disclose</w:t>
            </w:r>
            <w:r w:rsidRPr="00317451">
              <w:rPr>
                <w:rFonts w:cs="Arial"/>
              </w:rPr>
              <w:t>.</w:t>
            </w: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800" w14:textId="77777777" w:rsidR="003C7F22" w:rsidRPr="009A0204" w:rsidRDefault="003C7F22" w:rsidP="003C7F22">
            <w:pPr>
              <w:numPr>
                <w:ilvl w:val="12"/>
                <w:numId w:val="0"/>
              </w:numPr>
              <w:rPr>
                <w:rFonts w:cs="Arial"/>
                <w:szCs w:val="22"/>
              </w:rPr>
            </w:pPr>
          </w:p>
        </w:tc>
      </w:tr>
    </w:tbl>
    <w:p w14:paraId="1246E9C7" w14:textId="77777777" w:rsidR="003C7F22" w:rsidRPr="00317451" w:rsidRDefault="003C7F22" w:rsidP="003C7F22">
      <w:pPr>
        <w:rPr>
          <w:rFonts w:cs="Arial"/>
        </w:rPr>
      </w:pPr>
    </w:p>
    <w:p w14:paraId="45833077" w14:textId="77777777" w:rsidR="00B22014" w:rsidRDefault="00B22014"/>
    <w:sectPr w:rsidR="00B22014" w:rsidSect="003C7F22">
      <w:footerReference w:type="even" r:id="rId8"/>
      <w:footerReference w:type="default" r:id="rId9"/>
      <w:pgSz w:w="11907" w:h="16840" w:code="9"/>
      <w:pgMar w:top="426" w:right="567" w:bottom="142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0F35" w14:textId="77777777" w:rsidR="004320AC" w:rsidRDefault="004320AC">
      <w:r>
        <w:separator/>
      </w:r>
    </w:p>
  </w:endnote>
  <w:endnote w:type="continuationSeparator" w:id="0">
    <w:p w14:paraId="29BE1180" w14:textId="77777777" w:rsidR="004320AC" w:rsidRDefault="004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altName w:val="Viner Hand ITC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7502" w14:textId="77777777" w:rsidR="000E1F08" w:rsidRDefault="000E1F08" w:rsidP="003C7F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E2C383" w14:textId="77777777" w:rsidR="000E1F08" w:rsidRDefault="000E1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7404" w14:textId="77777777" w:rsidR="000E1F08" w:rsidRDefault="000E1F08" w:rsidP="003C7F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004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3A84EF" w14:textId="77777777" w:rsidR="000E1F08" w:rsidRDefault="000E1F08" w:rsidP="003C7F22">
    <w:pPr>
      <w:pStyle w:val="Footer"/>
      <w:tabs>
        <w:tab w:val="clear" w:pos="4153"/>
        <w:tab w:val="clear" w:pos="8306"/>
        <w:tab w:val="left" w:pos="8080"/>
        <w:tab w:val="left" w:pos="8505"/>
        <w:tab w:val="left" w:pos="8789"/>
        <w:tab w:val="left" w:pos="8931"/>
        <w:tab w:val="left" w:pos="9798"/>
      </w:tabs>
      <w:rPr>
        <w:b/>
        <w:sz w:val="24"/>
        <w:szCs w:val="24"/>
      </w:rPr>
    </w:pPr>
    <w:r w:rsidRPr="00780EBC">
      <w:rPr>
        <w:b/>
        <w:sz w:val="24"/>
        <w:szCs w:val="24"/>
      </w:rPr>
      <w:t>IER</w:t>
    </w:r>
    <w:r w:rsidR="00754BAD">
      <w:rPr>
        <w:b/>
        <w:sz w:val="24"/>
        <w:szCs w:val="24"/>
      </w:rPr>
      <w:t xml:space="preserve"> </w:t>
    </w:r>
    <w:r w:rsidR="00754BAD">
      <w:rPr>
        <w:b/>
        <w:sz w:val="24"/>
        <w:szCs w:val="24"/>
      </w:rPr>
      <w:tab/>
    </w:r>
    <w:r w:rsidR="00276004">
      <w:rPr>
        <w:b/>
        <w:sz w:val="24"/>
        <w:szCs w:val="24"/>
      </w:rPr>
      <w:t xml:space="preserve">      </w:t>
    </w:r>
    <w:r w:rsidR="00754BAD">
      <w:rPr>
        <w:b/>
        <w:sz w:val="24"/>
        <w:szCs w:val="24"/>
      </w:rPr>
      <w:tab/>
    </w:r>
    <w:r w:rsidR="00754BAD">
      <w:rPr>
        <w:b/>
        <w:sz w:val="24"/>
        <w:szCs w:val="24"/>
      </w:rPr>
      <w:tab/>
    </w:r>
    <w:r w:rsidR="00754BAD">
      <w:rPr>
        <w:b/>
        <w:sz w:val="24"/>
        <w:szCs w:val="24"/>
      </w:rPr>
      <w:tab/>
    </w:r>
    <w:r w:rsidR="00276004">
      <w:rPr>
        <w:b/>
        <w:sz w:val="24"/>
        <w:szCs w:val="24"/>
      </w:rPr>
      <w:t>May</w:t>
    </w:r>
    <w:r>
      <w:rPr>
        <w:b/>
        <w:sz w:val="24"/>
        <w:szCs w:val="24"/>
      </w:rPr>
      <w:t xml:space="preserve"> 201</w:t>
    </w:r>
    <w:r w:rsidR="00276004">
      <w:rPr>
        <w:b/>
        <w:sz w:val="24"/>
        <w:szCs w:val="24"/>
      </w:rPr>
      <w:t>8</w:t>
    </w:r>
  </w:p>
  <w:p w14:paraId="130AA99B" w14:textId="77777777" w:rsidR="000E1F08" w:rsidRPr="00780EBC" w:rsidRDefault="000E1F08" w:rsidP="003C7F22">
    <w:pPr>
      <w:pStyle w:val="Footer"/>
      <w:tabs>
        <w:tab w:val="clear" w:pos="4153"/>
        <w:tab w:val="clear" w:pos="8306"/>
        <w:tab w:val="left" w:pos="8080"/>
        <w:tab w:val="left" w:pos="8505"/>
        <w:tab w:val="left" w:pos="8789"/>
        <w:tab w:val="left" w:pos="8931"/>
        <w:tab w:val="left" w:pos="9798"/>
      </w:tabs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0520" w14:textId="77777777" w:rsidR="004320AC" w:rsidRDefault="004320AC">
      <w:r>
        <w:separator/>
      </w:r>
    </w:p>
  </w:footnote>
  <w:footnote w:type="continuationSeparator" w:id="0">
    <w:p w14:paraId="36A12687" w14:textId="77777777" w:rsidR="004320AC" w:rsidRDefault="0043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0435E05"/>
    <w:multiLevelType w:val="singleLevel"/>
    <w:tmpl w:val="D0D29E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031960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72064552">
    <w:abstractNumId w:val="1"/>
  </w:num>
  <w:num w:numId="3" w16cid:durableId="120536906">
    <w:abstractNumId w:val="1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F22"/>
    <w:rsid w:val="00010DB6"/>
    <w:rsid w:val="00044BFF"/>
    <w:rsid w:val="0004720F"/>
    <w:rsid w:val="0005161B"/>
    <w:rsid w:val="00064E9C"/>
    <w:rsid w:val="00067AFA"/>
    <w:rsid w:val="00093AED"/>
    <w:rsid w:val="000A361B"/>
    <w:rsid w:val="000A3DFA"/>
    <w:rsid w:val="000C558B"/>
    <w:rsid w:val="000D3F7F"/>
    <w:rsid w:val="000D70BA"/>
    <w:rsid w:val="000E1F08"/>
    <w:rsid w:val="000F0B5E"/>
    <w:rsid w:val="000F668C"/>
    <w:rsid w:val="001052AC"/>
    <w:rsid w:val="001114A8"/>
    <w:rsid w:val="0012728A"/>
    <w:rsid w:val="001317A7"/>
    <w:rsid w:val="00134C7E"/>
    <w:rsid w:val="00150CDC"/>
    <w:rsid w:val="00152850"/>
    <w:rsid w:val="00170B72"/>
    <w:rsid w:val="0018112A"/>
    <w:rsid w:val="0018498E"/>
    <w:rsid w:val="001865DD"/>
    <w:rsid w:val="001C203B"/>
    <w:rsid w:val="001E2812"/>
    <w:rsid w:val="001E769C"/>
    <w:rsid w:val="0020214D"/>
    <w:rsid w:val="00205538"/>
    <w:rsid w:val="002056CC"/>
    <w:rsid w:val="002057C2"/>
    <w:rsid w:val="00213097"/>
    <w:rsid w:val="00220342"/>
    <w:rsid w:val="00221FA3"/>
    <w:rsid w:val="002604FE"/>
    <w:rsid w:val="00266B5E"/>
    <w:rsid w:val="00273128"/>
    <w:rsid w:val="00276004"/>
    <w:rsid w:val="002B68B1"/>
    <w:rsid w:val="002B6B44"/>
    <w:rsid w:val="002C01EF"/>
    <w:rsid w:val="002C6EEE"/>
    <w:rsid w:val="002D1D27"/>
    <w:rsid w:val="002E4E00"/>
    <w:rsid w:val="002E6F31"/>
    <w:rsid w:val="003133F3"/>
    <w:rsid w:val="0035036E"/>
    <w:rsid w:val="003648C2"/>
    <w:rsid w:val="003932C7"/>
    <w:rsid w:val="003962C4"/>
    <w:rsid w:val="003B7C4B"/>
    <w:rsid w:val="003C7F22"/>
    <w:rsid w:val="003D01DE"/>
    <w:rsid w:val="003D0C07"/>
    <w:rsid w:val="003D38BB"/>
    <w:rsid w:val="003D74D9"/>
    <w:rsid w:val="004038A1"/>
    <w:rsid w:val="004320AC"/>
    <w:rsid w:val="00445A0D"/>
    <w:rsid w:val="004476A2"/>
    <w:rsid w:val="00481168"/>
    <w:rsid w:val="004A5A44"/>
    <w:rsid w:val="004A7471"/>
    <w:rsid w:val="004B3F2C"/>
    <w:rsid w:val="004B4FB5"/>
    <w:rsid w:val="005155EB"/>
    <w:rsid w:val="005252EA"/>
    <w:rsid w:val="00535819"/>
    <w:rsid w:val="00542A54"/>
    <w:rsid w:val="0055263E"/>
    <w:rsid w:val="00585E63"/>
    <w:rsid w:val="005954DA"/>
    <w:rsid w:val="005A1E26"/>
    <w:rsid w:val="005B0B6C"/>
    <w:rsid w:val="005B24F2"/>
    <w:rsid w:val="005B7987"/>
    <w:rsid w:val="005B7D24"/>
    <w:rsid w:val="006321A8"/>
    <w:rsid w:val="00642F0C"/>
    <w:rsid w:val="00650F1F"/>
    <w:rsid w:val="00652F2D"/>
    <w:rsid w:val="006608CE"/>
    <w:rsid w:val="00684D12"/>
    <w:rsid w:val="006D0E82"/>
    <w:rsid w:val="006D4E29"/>
    <w:rsid w:val="006E0BC2"/>
    <w:rsid w:val="006F4002"/>
    <w:rsid w:val="00715804"/>
    <w:rsid w:val="007205CC"/>
    <w:rsid w:val="00721404"/>
    <w:rsid w:val="007414BD"/>
    <w:rsid w:val="00743074"/>
    <w:rsid w:val="00754BAD"/>
    <w:rsid w:val="00772E9B"/>
    <w:rsid w:val="00773226"/>
    <w:rsid w:val="007762DA"/>
    <w:rsid w:val="00781E61"/>
    <w:rsid w:val="00787EB9"/>
    <w:rsid w:val="007A7260"/>
    <w:rsid w:val="007B2F39"/>
    <w:rsid w:val="007C20EC"/>
    <w:rsid w:val="007D5EFF"/>
    <w:rsid w:val="00825F6C"/>
    <w:rsid w:val="00837886"/>
    <w:rsid w:val="008425E1"/>
    <w:rsid w:val="00852487"/>
    <w:rsid w:val="00890AAE"/>
    <w:rsid w:val="008A2C7B"/>
    <w:rsid w:val="008C0F2A"/>
    <w:rsid w:val="008D696F"/>
    <w:rsid w:val="008E63E2"/>
    <w:rsid w:val="00902AEB"/>
    <w:rsid w:val="00914EBD"/>
    <w:rsid w:val="009170E8"/>
    <w:rsid w:val="00930B86"/>
    <w:rsid w:val="009474F3"/>
    <w:rsid w:val="0097122C"/>
    <w:rsid w:val="009A2F44"/>
    <w:rsid w:val="009C0966"/>
    <w:rsid w:val="009D11CE"/>
    <w:rsid w:val="009D41C5"/>
    <w:rsid w:val="00A0137A"/>
    <w:rsid w:val="00A02D5F"/>
    <w:rsid w:val="00A16E57"/>
    <w:rsid w:val="00A45E9D"/>
    <w:rsid w:val="00A551C8"/>
    <w:rsid w:val="00A61E13"/>
    <w:rsid w:val="00A70B16"/>
    <w:rsid w:val="00AC1FFC"/>
    <w:rsid w:val="00AD0913"/>
    <w:rsid w:val="00AF4C7A"/>
    <w:rsid w:val="00AF53E4"/>
    <w:rsid w:val="00B02573"/>
    <w:rsid w:val="00B06F5B"/>
    <w:rsid w:val="00B15476"/>
    <w:rsid w:val="00B22014"/>
    <w:rsid w:val="00B704C6"/>
    <w:rsid w:val="00B74F4C"/>
    <w:rsid w:val="00B80567"/>
    <w:rsid w:val="00BB3C48"/>
    <w:rsid w:val="00BD73FF"/>
    <w:rsid w:val="00BE2883"/>
    <w:rsid w:val="00C03E15"/>
    <w:rsid w:val="00C201D1"/>
    <w:rsid w:val="00C632A9"/>
    <w:rsid w:val="00C84329"/>
    <w:rsid w:val="00C85A5C"/>
    <w:rsid w:val="00C93285"/>
    <w:rsid w:val="00CB2FDE"/>
    <w:rsid w:val="00CB5492"/>
    <w:rsid w:val="00CC417E"/>
    <w:rsid w:val="00CE3818"/>
    <w:rsid w:val="00CF6438"/>
    <w:rsid w:val="00D03307"/>
    <w:rsid w:val="00D10694"/>
    <w:rsid w:val="00D174B5"/>
    <w:rsid w:val="00D3366B"/>
    <w:rsid w:val="00D76DE5"/>
    <w:rsid w:val="00D87A2C"/>
    <w:rsid w:val="00D932B1"/>
    <w:rsid w:val="00DB5736"/>
    <w:rsid w:val="00DB677C"/>
    <w:rsid w:val="00DE6CE8"/>
    <w:rsid w:val="00DF3D34"/>
    <w:rsid w:val="00E07CD9"/>
    <w:rsid w:val="00E31AEF"/>
    <w:rsid w:val="00E41AD4"/>
    <w:rsid w:val="00E54777"/>
    <w:rsid w:val="00E722A8"/>
    <w:rsid w:val="00EE417B"/>
    <w:rsid w:val="00F0358A"/>
    <w:rsid w:val="00F06033"/>
    <w:rsid w:val="00F10348"/>
    <w:rsid w:val="00F52D1C"/>
    <w:rsid w:val="00F52F33"/>
    <w:rsid w:val="00F54E16"/>
    <w:rsid w:val="00F839BB"/>
    <w:rsid w:val="00FA3D73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D1115C"/>
  <w15:chartTrackingRefBased/>
  <w15:docId w15:val="{7806C1A5-D135-4459-B8A3-636F66ED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7F22"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3C7F22"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C7F22"/>
    <w:pPr>
      <w:keepNext/>
      <w:numPr>
        <w:ilvl w:val="12"/>
      </w:numPr>
      <w:jc w:val="right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3C7F22"/>
    <w:pPr>
      <w:keepNext/>
      <w:numPr>
        <w:ilvl w:val="12"/>
      </w:numPr>
      <w:spacing w:before="120" w:after="120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1">
    <w:name w:val="Document 1"/>
    <w:rsid w:val="003C7F22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Footer">
    <w:name w:val="footer"/>
    <w:basedOn w:val="Normal"/>
    <w:rsid w:val="003C7F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F22"/>
  </w:style>
  <w:style w:type="paragraph" w:styleId="BalloonText">
    <w:name w:val="Balloon Text"/>
    <w:basedOn w:val="Normal"/>
    <w:semiHidden/>
    <w:rsid w:val="005B24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C096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Charity Commission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gabell</dc:creator>
  <cp:keywords/>
  <dc:description/>
  <cp:lastModifiedBy>Viv Brealey</cp:lastModifiedBy>
  <cp:revision>2</cp:revision>
  <cp:lastPrinted>2023-04-03T10:57:00Z</cp:lastPrinted>
  <dcterms:created xsi:type="dcterms:W3CDTF">2024-05-10T13:01:00Z</dcterms:created>
  <dcterms:modified xsi:type="dcterms:W3CDTF">2024-05-10T13:01:00Z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A3276817</vt:lpwstr>
  </property>
  <property fmtid="{D5CDD505-2E9C-101B-9397-08002B2CF9AE}" pid="3" name="Objective-Title">
    <vt:lpwstr>CC16 - Independent examiner Word master</vt:lpwstr>
  </property>
  <property fmtid="{D5CDD505-2E9C-101B-9397-08002B2CF9AE}" pid="4" name="Objective-Comment">
    <vt:lpwstr> </vt:lpwstr>
  </property>
  <property fmtid="{D5CDD505-2E9C-101B-9397-08002B2CF9AE}" pid="5" name="Objective-CreationStamp">
    <vt:filetime>2012-03-07T14:17:40Z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> </vt:lpwstr>
  </property>
  <property fmtid="{D5CDD505-2E9C-101B-9397-08002B2CF9AE}" pid="9" name="Objective-ModificationStamp">
    <vt:filetime>2012-03-14T11:58:57Z</vt:filetime>
  </property>
  <property fmtid="{D5CDD505-2E9C-101B-9397-08002B2CF9AE}" pid="10" name="Objective-Owner">
    <vt:lpwstr>Gavin Bell</vt:lpwstr>
  </property>
  <property fmtid="{D5CDD505-2E9C-101B-9397-08002B2CF9AE}" pid="11" name="Objective-Path">
    <vt:lpwstr>CeRIS Global Folder:Charity Policy, Law and Practice:Design and Publishing:Web Masters (for main website based on site map as at Nov 2010):Publications:CC16 - Receipts and Payments Accounts Pack (based on SORP 2005):</vt:lpwstr>
  </property>
  <property fmtid="{D5CDD505-2E9C-101B-9397-08002B2CF9AE}" pid="12" name="Objective-Parent">
    <vt:lpwstr>CC16 - Receipts and Payments Accounts Pack (based on SORP 2005)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2.1</vt:lpwstr>
  </property>
  <property fmtid="{D5CDD505-2E9C-101B-9397-08002B2CF9AE}" pid="15" name="Objective-VersionNumber">
    <vt:i4>3</vt:i4>
  </property>
  <property fmtid="{D5CDD505-2E9C-101B-9397-08002B2CF9AE}" pid="16" name="Objective-VersionComment">
    <vt:lpwstr>Accepted tracked changes for upload to website</vt:lpwstr>
  </property>
  <property fmtid="{D5CDD505-2E9C-101B-9397-08002B2CF9AE}" pid="17" name="Objective-FileNumber">
    <vt:lpwstr>qA392178</vt:lpwstr>
  </property>
  <property fmtid="{D5CDD505-2E9C-101B-9397-08002B2CF9AE}" pid="18" name="Objective-Classification">
    <vt:lpwstr>[Inherited - Not protectively marked]</vt:lpwstr>
  </property>
  <property fmtid="{D5CDD505-2E9C-101B-9397-08002B2CF9AE}" pid="19" name="Objective-Caveats">
    <vt:lpwstr> </vt:lpwstr>
  </property>
  <property fmtid="{D5CDD505-2E9C-101B-9397-08002B2CF9AE}" pid="20" name="Objective-Fileplan ID [system]">
    <vt:lpwstr> </vt:lpwstr>
  </property>
  <property fmtid="{D5CDD505-2E9C-101B-9397-08002B2CF9AE}" pid="21" name="Objective-Title [system]">
    <vt:lpwstr>CC16 - Independent examiner Word master</vt:lpwstr>
  </property>
  <property fmtid="{D5CDD505-2E9C-101B-9397-08002B2CF9AE}" pid="22" name="Objective-Creator [system]">
    <vt:lpwstr> </vt:lpwstr>
  </property>
  <property fmtid="{D5CDD505-2E9C-101B-9397-08002B2CF9AE}" pid="23" name="Objective-Addressee [system]">
    <vt:lpwstr> </vt:lpwstr>
  </property>
  <property fmtid="{D5CDD505-2E9C-101B-9397-08002B2CF9AE}" pid="24" name="Objective-Date Acquired [system]">
    <vt:lpwstr> </vt:lpwstr>
  </property>
  <property fmtid="{D5CDD505-2E9C-101B-9397-08002B2CF9AE}" pid="25" name="Objective-Decision [system]">
    <vt:lpwstr> </vt:lpwstr>
  </property>
  <property fmtid="{D5CDD505-2E9C-101B-9397-08002B2CF9AE}" pid="26" name="Objective-Advice [system]">
    <vt:lpwstr> </vt:lpwstr>
  </property>
  <property fmtid="{D5CDD505-2E9C-101B-9397-08002B2CF9AE}" pid="27" name="Objective-Complaint [system]">
    <vt:lpwstr> </vt:lpwstr>
  </property>
  <property fmtid="{D5CDD505-2E9C-101B-9397-08002B2CF9AE}" pid="28" name="Objective-Sets Precedent [system]">
    <vt:lpwstr> </vt:lpwstr>
  </property>
  <property fmtid="{D5CDD505-2E9C-101B-9397-08002B2CF9AE}" pid="29" name="Objective-Requesting MP [system]">
    <vt:lpwstr> </vt:lpwstr>
  </property>
  <property fmtid="{D5CDD505-2E9C-101B-9397-08002B2CF9AE}" pid="30" name="Objective-Responsible Officer [system]">
    <vt:lpwstr> </vt:lpwstr>
  </property>
  <property fmtid="{D5CDD505-2E9C-101B-9397-08002B2CF9AE}" pid="31" name="Objective-Language [system]">
    <vt:lpwstr>English</vt:lpwstr>
  </property>
  <property fmtid="{D5CDD505-2E9C-101B-9397-08002B2CF9AE}" pid="32" name="Objective-Classification Expiry Date [system]">
    <vt:lpwstr> </vt:lpwstr>
  </property>
  <property fmtid="{D5CDD505-2E9C-101B-9397-08002B2CF9AE}" pid="33" name="Objective-Disclosability to DPA Data Subject [system]">
    <vt:lpwstr>Yes</vt:lpwstr>
  </property>
  <property fmtid="{D5CDD505-2E9C-101B-9397-08002B2CF9AE}" pid="34" name="Objective-DPA Data Subject Access Exemption [system]">
    <vt:lpwstr> </vt:lpwstr>
  </property>
  <property fmtid="{D5CDD505-2E9C-101B-9397-08002B2CF9AE}" pid="35" name="Objective-FOI Disclosabiltiy Indicator [system]">
    <vt:lpwstr>Yes</vt:lpwstr>
  </property>
  <property fmtid="{D5CDD505-2E9C-101B-9397-08002B2CF9AE}" pid="36" name="Objective-FOI Exemption [system]">
    <vt:lpwstr> </vt:lpwstr>
  </property>
  <property fmtid="{D5CDD505-2E9C-101B-9397-08002B2CF9AE}" pid="37" name="Objective-FOI Disclosability Last Review [system]">
    <vt:lpwstr> </vt:lpwstr>
  </property>
  <property fmtid="{D5CDD505-2E9C-101B-9397-08002B2CF9AE}" pid="38" name="Objective-FOI Release Details [system]">
    <vt:lpwstr> </vt:lpwstr>
  </property>
  <property fmtid="{D5CDD505-2E9C-101B-9397-08002B2CF9AE}" pid="39" name="Objective-FOI Release Date [system]">
    <vt:lpwstr> </vt:lpwstr>
  </property>
  <property fmtid="{D5CDD505-2E9C-101B-9397-08002B2CF9AE}" pid="40" name="Objective-Review Progress Status [system]">
    <vt:lpwstr> </vt:lpwstr>
  </property>
  <property fmtid="{D5CDD505-2E9C-101B-9397-08002B2CF9AE}" pid="41" name="Objective-EIR Disclosabiltiy Indicator [system]">
    <vt:lpwstr>Yes</vt:lpwstr>
  </property>
  <property fmtid="{D5CDD505-2E9C-101B-9397-08002B2CF9AE}" pid="42" name="Objective-EIR Exemption [system]">
    <vt:lpwstr> </vt:lpwstr>
  </property>
  <property fmtid="{D5CDD505-2E9C-101B-9397-08002B2CF9AE}" pid="43" name="Objective-Authorising Statute [system]">
    <vt:lpwstr> </vt:lpwstr>
  </property>
  <property fmtid="{D5CDD505-2E9C-101B-9397-08002B2CF9AE}" pid="44" name="Objective-Personal Data Acquisition Purpose [system]">
    <vt:lpwstr> </vt:lpwstr>
  </property>
  <property fmtid="{D5CDD505-2E9C-101B-9397-08002B2CF9AE}" pid="45" name="Objective-Security Descriptor [system]">
    <vt:lpwstr> </vt:lpwstr>
  </property>
  <property fmtid="{D5CDD505-2E9C-101B-9397-08002B2CF9AE}" pid="46" name="_NewReviewCycle">
    <vt:lpwstr/>
  </property>
</Properties>
</file>